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>в</w:t>
      </w:r>
      <w:r w:rsidR="00636E8F">
        <w:rPr>
          <w:b/>
        </w:rPr>
        <w:t>о</w:t>
      </w:r>
      <w:r w:rsidRPr="009C4726">
        <w:rPr>
          <w:b/>
        </w:rPr>
        <w:t xml:space="preserve"> </w:t>
      </w:r>
      <w:r w:rsidR="00636E8F">
        <w:rPr>
          <w:b/>
        </w:rPr>
        <w:t>2</w:t>
      </w:r>
      <w:r w:rsidRPr="009C4726">
        <w:rPr>
          <w:b/>
        </w:rPr>
        <w:t xml:space="preserve"> квартале </w:t>
      </w:r>
      <w:r w:rsidR="00C6301A" w:rsidRPr="00C6301A">
        <w:rPr>
          <w:b/>
        </w:rPr>
        <w:t>2020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 w:rsidR="00636E8F">
        <w:t>о</w:t>
      </w:r>
      <w:r>
        <w:t xml:space="preserve"> </w:t>
      </w:r>
      <w:r w:rsidR="00636E8F">
        <w:rPr>
          <w:b/>
        </w:rPr>
        <w:t>2</w:t>
      </w:r>
      <w:r w:rsidRPr="00A61728">
        <w:rPr>
          <w:b/>
        </w:rPr>
        <w:t xml:space="preserve"> квартале </w:t>
      </w:r>
      <w:r w:rsidR="00C6301A" w:rsidRPr="00C6301A">
        <w:rPr>
          <w:b/>
        </w:rPr>
        <w:t>2020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636E8F">
        <w:rPr>
          <w:b/>
        </w:rPr>
        <w:t xml:space="preserve">5 </w:t>
      </w:r>
      <w:r>
        <w:t>обращени</w:t>
      </w:r>
      <w:r w:rsidR="00E1457E">
        <w:t>й</w:t>
      </w:r>
      <w:r w:rsidR="00875CE6">
        <w:t xml:space="preserve"> </w:t>
      </w:r>
      <w:r>
        <w:t>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636E8F">
        <w:rPr>
          <w:b/>
        </w:rPr>
        <w:t>2</w:t>
      </w:r>
      <w:r w:rsidR="00326E38" w:rsidRPr="00277E70">
        <w:rPr>
          <w:b/>
        </w:rPr>
        <w:t xml:space="preserve"> </w:t>
      </w:r>
      <w:r w:rsidR="009C6674">
        <w:t>(</w:t>
      </w:r>
      <w:r w:rsidR="00636E8F">
        <w:t>40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636E8F">
        <w:rPr>
          <w:b/>
        </w:rPr>
        <w:t>1</w:t>
      </w:r>
      <w:r w:rsidR="009C6674">
        <w:rPr>
          <w:b/>
        </w:rPr>
        <w:t xml:space="preserve"> </w:t>
      </w:r>
      <w:r w:rsidR="009C6674" w:rsidRPr="009C6674">
        <w:t>(</w:t>
      </w:r>
      <w:r w:rsidR="00636E8F">
        <w:t>20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636E8F">
        <w:rPr>
          <w:b/>
        </w:rPr>
        <w:t>2</w:t>
      </w:r>
      <w:r w:rsidR="009C6674">
        <w:rPr>
          <w:b/>
        </w:rPr>
        <w:t xml:space="preserve"> </w:t>
      </w:r>
      <w:r w:rsidR="009C6674" w:rsidRPr="009C6674">
        <w:t>(</w:t>
      </w:r>
      <w:r w:rsidR="00636E8F">
        <w:t>40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636E8F" w:rsidP="008B56DA">
      <w:pPr>
        <w:ind w:left="709" w:firstLine="0"/>
      </w:pPr>
      <w:r w:rsidRPr="00636E8F">
        <w:rPr>
          <w:noProof/>
        </w:rPr>
        <w:drawing>
          <wp:inline distT="0" distB="0" distL="0" distR="0">
            <wp:extent cx="5940425" cy="2456815"/>
            <wp:effectExtent l="0" t="0" r="3175" b="63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636E8F">
        <w:rPr>
          <w:b/>
        </w:rPr>
        <w:t>1</w:t>
      </w:r>
      <w:r w:rsidR="002F574E">
        <w:rPr>
          <w:b/>
        </w:rPr>
        <w:t xml:space="preserve"> </w:t>
      </w:r>
      <w:r>
        <w:t>(</w:t>
      </w:r>
      <w:r w:rsidR="00636E8F">
        <w:t>20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636E8F">
        <w:rPr>
          <w:b/>
        </w:rPr>
        <w:t>4</w:t>
      </w:r>
      <w:r w:rsidR="002F574E">
        <w:rPr>
          <w:b/>
        </w:rPr>
        <w:t xml:space="preserve"> </w:t>
      </w:r>
      <w:r>
        <w:t>(</w:t>
      </w:r>
      <w:r w:rsidR="00636E8F">
        <w:t>80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636E8F">
        <w:rPr>
          <w:b/>
        </w:rPr>
        <w:t>5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636E8F">
        <w:rPr>
          <w:b/>
        </w:rPr>
        <w:t>5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636E8F">
        <w:rPr>
          <w:b/>
        </w:rPr>
        <w:t>3</w:t>
      </w:r>
      <w:r w:rsidR="002F574E">
        <w:rPr>
          <w:b/>
        </w:rPr>
        <w:t xml:space="preserve"> </w:t>
      </w:r>
      <w:r w:rsidR="00763E75">
        <w:t>(</w:t>
      </w:r>
      <w:r w:rsidR="00636E8F">
        <w:t>60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636E8F">
        <w:rPr>
          <w:b/>
        </w:rPr>
        <w:t>2</w:t>
      </w:r>
      <w:r w:rsidR="002F574E">
        <w:rPr>
          <w:b/>
        </w:rPr>
        <w:t xml:space="preserve"> </w:t>
      </w:r>
      <w:r w:rsidR="008A1A12">
        <w:t>(</w:t>
      </w:r>
      <w:r w:rsidR="00636E8F">
        <w:t>40</w:t>
      </w:r>
      <w:r w:rsidR="008A1A12">
        <w:t>%).</w:t>
      </w:r>
      <w:r w:rsidR="00DA496A">
        <w:t xml:space="preserve"> 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1456B3" w:rsidP="009C4726">
      <w:r w:rsidRPr="001456B3">
        <w:rPr>
          <w:noProof/>
        </w:rPr>
        <w:lastRenderedPageBreak/>
        <w:drawing>
          <wp:inline distT="0" distB="0" distL="0" distR="0">
            <wp:extent cx="5708650" cy="3203575"/>
            <wp:effectExtent l="0" t="0" r="63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5F2" w:rsidRDefault="00E875F2" w:rsidP="009C4726"/>
    <w:p w:rsidR="000E5404" w:rsidRDefault="000E5404" w:rsidP="009C4726"/>
    <w:p w:rsidR="000E5404" w:rsidRDefault="001456B3" w:rsidP="009C4726">
      <w:bookmarkStart w:id="0" w:name="_GoBack"/>
      <w:r w:rsidRPr="001456B3">
        <w:rPr>
          <w:noProof/>
        </w:rPr>
        <w:drawing>
          <wp:inline distT="0" distB="0" distL="0" distR="0">
            <wp:extent cx="5769610" cy="3188970"/>
            <wp:effectExtent l="19050" t="0" r="254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0E5404" w:rsidRDefault="000E5404" w:rsidP="009C4726"/>
    <w:p w:rsidR="00EC75EA" w:rsidRDefault="00EC75EA" w:rsidP="009C4726">
      <w:r>
        <w:t>Анализ поступления</w:t>
      </w:r>
      <w:r w:rsidR="009B1145">
        <w:t xml:space="preserve"> </w:t>
      </w:r>
      <w:r>
        <w:t>в</w:t>
      </w:r>
      <w:r w:rsidR="001456B3">
        <w:t>о</w:t>
      </w:r>
      <w:r>
        <w:t xml:space="preserve"> </w:t>
      </w:r>
      <w:r w:rsidR="001456B3">
        <w:rPr>
          <w:b/>
        </w:rPr>
        <w:t>2</w:t>
      </w:r>
      <w:r w:rsidRPr="001D6F94">
        <w:rPr>
          <w:b/>
        </w:rPr>
        <w:t xml:space="preserve"> квартале 20</w:t>
      </w:r>
      <w:r w:rsidR="009C4FAF">
        <w:rPr>
          <w:b/>
        </w:rPr>
        <w:t>20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</w:t>
      </w:r>
      <w:r w:rsidR="001456B3">
        <w:t xml:space="preserve">только </w:t>
      </w:r>
      <w:r>
        <w:t xml:space="preserve">из </w:t>
      </w:r>
      <w:r w:rsidR="001456B3">
        <w:t xml:space="preserve">Камчатского края </w:t>
      </w:r>
      <w:r w:rsidR="001456B3" w:rsidRPr="00A3187C">
        <w:t>–</w:t>
      </w:r>
      <w:r w:rsidR="001456B3">
        <w:t xml:space="preserve"> 5 (100%).</w:t>
      </w:r>
    </w:p>
    <w:p w:rsidR="00BF04D8" w:rsidRPr="00594E53" w:rsidRDefault="002F4BEE" w:rsidP="009C4726">
      <w:r w:rsidRPr="00594E53">
        <w:t>В</w:t>
      </w:r>
      <w:r w:rsidR="001456B3">
        <w:t>о</w:t>
      </w:r>
      <w:r w:rsidRPr="00594E53">
        <w:t xml:space="preserve"> </w:t>
      </w:r>
      <w:r w:rsidR="001456B3">
        <w:rPr>
          <w:b/>
        </w:rPr>
        <w:t>2</w:t>
      </w:r>
      <w:r w:rsidRPr="00594E53">
        <w:rPr>
          <w:b/>
        </w:rPr>
        <w:t xml:space="preserve"> квартале 20</w:t>
      </w:r>
      <w:r w:rsidR="009C4FAF">
        <w:rPr>
          <w:b/>
        </w:rPr>
        <w:t>20</w:t>
      </w:r>
      <w:r w:rsidRPr="00594E53">
        <w:rPr>
          <w:b/>
        </w:rPr>
        <w:t xml:space="preserve"> года</w:t>
      </w:r>
      <w:r w:rsidRPr="00594E53">
        <w:t xml:space="preserve"> рассмотрено </w:t>
      </w:r>
      <w:r w:rsidR="001456B3">
        <w:rPr>
          <w:b/>
        </w:rPr>
        <w:t>5</w:t>
      </w:r>
      <w:r w:rsidRPr="00594E53">
        <w:t xml:space="preserve"> обращени</w:t>
      </w:r>
      <w:r w:rsidR="00E1457E">
        <w:t>й</w:t>
      </w:r>
      <w:r w:rsidRPr="00594E53">
        <w:t xml:space="preserve"> граждан, что </w:t>
      </w:r>
      <w:r w:rsidR="00CC4874">
        <w:t>на 77,3%</w:t>
      </w:r>
      <w:r w:rsidR="003C2A9F" w:rsidRPr="00594E53">
        <w:t xml:space="preserve"> </w:t>
      </w:r>
      <w:r w:rsidR="001456B3">
        <w:t>меньше</w:t>
      </w:r>
      <w:r w:rsidR="00763E75" w:rsidRPr="00594E53">
        <w:t xml:space="preserve">, чем в </w:t>
      </w:r>
      <w:r w:rsidR="001456B3">
        <w:rPr>
          <w:b/>
        </w:rPr>
        <w:t>1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1456B3">
        <w:rPr>
          <w:b/>
        </w:rPr>
        <w:t>2020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963C5B" w:rsidRPr="00594E53">
        <w:t xml:space="preserve">, и </w:t>
      </w:r>
      <w:r w:rsidR="00CC4874">
        <w:t>на 37,5%</w:t>
      </w:r>
      <w:r w:rsidR="00963C5B" w:rsidRPr="00594E53">
        <w:t xml:space="preserve"> </w:t>
      </w:r>
      <w:r w:rsidR="00DB5778">
        <w:t>меньше</w:t>
      </w:r>
      <w:r w:rsidR="00963C5B" w:rsidRPr="00594E53">
        <w:t>, чем в</w:t>
      </w:r>
      <w:r w:rsidR="001456B3">
        <w:t>о</w:t>
      </w:r>
      <w:r w:rsidR="00963C5B" w:rsidRPr="00594E53">
        <w:t xml:space="preserve"> </w:t>
      </w:r>
      <w:r w:rsidR="001456B3">
        <w:rPr>
          <w:b/>
        </w:rPr>
        <w:t>2</w:t>
      </w:r>
      <w:r w:rsidR="00963C5B" w:rsidRPr="00594E53">
        <w:rPr>
          <w:b/>
        </w:rPr>
        <w:t xml:space="preserve"> квартале 20</w:t>
      </w:r>
      <w:r w:rsidR="00DB5778">
        <w:rPr>
          <w:b/>
        </w:rPr>
        <w:t>19</w:t>
      </w:r>
      <w:r w:rsidR="00963C5B" w:rsidRPr="00594E53">
        <w:rPr>
          <w:b/>
        </w:rPr>
        <w:t xml:space="preserve"> 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594E53">
        <w:t>находящихся</w:t>
      </w:r>
      <w:r w:rsidR="003C2A9F" w:rsidRPr="00594E53">
        <w:t xml:space="preserve"> на рассмотрении </w:t>
      </w:r>
      <w:r w:rsidR="00111129">
        <w:rPr>
          <w:b/>
        </w:rPr>
        <w:t>на 1</w:t>
      </w:r>
      <w:r w:rsidR="00055998" w:rsidRPr="00594E53">
        <w:rPr>
          <w:b/>
        </w:rPr>
        <w:t xml:space="preserve"> </w:t>
      </w:r>
      <w:r w:rsidR="00111129">
        <w:rPr>
          <w:b/>
        </w:rPr>
        <w:t>июля</w:t>
      </w:r>
      <w:r w:rsidR="0054462B" w:rsidRPr="00594E53">
        <w:rPr>
          <w:b/>
        </w:rPr>
        <w:t xml:space="preserve"> 20</w:t>
      </w:r>
      <w:r w:rsidR="00DB5778">
        <w:rPr>
          <w:b/>
        </w:rPr>
        <w:t>20</w:t>
      </w:r>
      <w:r w:rsidR="0054462B" w:rsidRPr="00594E53">
        <w:rPr>
          <w:b/>
        </w:rPr>
        <w:t xml:space="preserve"> года</w:t>
      </w:r>
      <w:r w:rsidR="00034BCB" w:rsidRPr="00594E53">
        <w:rPr>
          <w:b/>
        </w:rPr>
        <w:t>,</w:t>
      </w:r>
      <w:r w:rsidR="00BF04D8" w:rsidRPr="00594E53">
        <w:t xml:space="preserve"> нет.</w:t>
      </w:r>
      <w:r w:rsidR="003C2A9F" w:rsidRPr="00594E53">
        <w:t xml:space="preserve"> </w:t>
      </w:r>
    </w:p>
    <w:p w:rsidR="003C2A9F" w:rsidRPr="00594E53" w:rsidRDefault="00763E75" w:rsidP="009C4726">
      <w:r w:rsidRPr="00594E53">
        <w:t>По результатам рассмотрения обращений граждан в</w:t>
      </w:r>
      <w:r w:rsidR="00111129">
        <w:t>о</w:t>
      </w:r>
      <w:r w:rsidRPr="00594E53">
        <w:t xml:space="preserve"> </w:t>
      </w:r>
      <w:r w:rsidR="00111129">
        <w:rPr>
          <w:b/>
        </w:rPr>
        <w:t>2</w:t>
      </w:r>
      <w:r w:rsidRPr="00594E53">
        <w:rPr>
          <w:b/>
        </w:rPr>
        <w:t xml:space="preserve"> квартале 20</w:t>
      </w:r>
      <w:r w:rsidR="00E875F2">
        <w:rPr>
          <w:b/>
        </w:rPr>
        <w:t>20</w:t>
      </w:r>
      <w:r w:rsidRPr="00594E53">
        <w:rPr>
          <w:b/>
        </w:rPr>
        <w:t xml:space="preserve"> года</w:t>
      </w:r>
      <w:r w:rsidRPr="00594E53">
        <w:t xml:space="preserve"> дан</w:t>
      </w:r>
      <w:r w:rsidR="00055998" w:rsidRPr="00594E53">
        <w:t>о</w:t>
      </w:r>
      <w:r w:rsidRPr="00594E53">
        <w:t xml:space="preserve"> </w:t>
      </w:r>
      <w:r w:rsidR="00111129">
        <w:rPr>
          <w:b/>
        </w:rPr>
        <w:t>5</w:t>
      </w:r>
      <w:r w:rsidR="00515E8F" w:rsidRPr="00594E53">
        <w:t xml:space="preserve"> </w:t>
      </w:r>
      <w:r w:rsidR="002F574E" w:rsidRPr="00594E53">
        <w:t>ответ</w:t>
      </w:r>
      <w:r w:rsidR="00434954">
        <w:t>ов</w:t>
      </w:r>
      <w:r w:rsidRPr="00594E53">
        <w:t xml:space="preserve">, что </w:t>
      </w:r>
      <w:r w:rsidR="00CC4874">
        <w:t xml:space="preserve">на 77,3% </w:t>
      </w:r>
      <w:r w:rsidR="00111129">
        <w:t>меньше</w:t>
      </w:r>
      <w:r w:rsidRPr="00594E53">
        <w:t xml:space="preserve">, чем в </w:t>
      </w:r>
      <w:r w:rsidR="00111129">
        <w:rPr>
          <w:b/>
        </w:rPr>
        <w:t>1</w:t>
      </w:r>
      <w:r w:rsidRPr="00594E53">
        <w:rPr>
          <w:b/>
        </w:rPr>
        <w:t xml:space="preserve"> квартале </w:t>
      </w:r>
      <w:r w:rsidR="00111129">
        <w:rPr>
          <w:b/>
        </w:rPr>
        <w:t>2020</w:t>
      </w:r>
      <w:r w:rsidRPr="00594E53">
        <w:rPr>
          <w:b/>
        </w:rPr>
        <w:t xml:space="preserve"> года</w:t>
      </w:r>
      <w:r w:rsidRPr="00594E53">
        <w:t>,</w:t>
      </w:r>
      <w:r w:rsidR="004C3ADD" w:rsidRPr="00594E53">
        <w:t xml:space="preserve"> и </w:t>
      </w:r>
      <w:r w:rsidR="00CC4874">
        <w:t>на 37,5%</w:t>
      </w:r>
      <w:r w:rsidR="00663E22">
        <w:t xml:space="preserve"> </w:t>
      </w:r>
      <w:r w:rsidR="00E875F2">
        <w:t>меньше</w:t>
      </w:r>
      <w:r w:rsidR="004C3ADD" w:rsidRPr="00594E53">
        <w:t>, чем в</w:t>
      </w:r>
      <w:r w:rsidR="00111129">
        <w:t>о 2</w:t>
      </w:r>
      <w:r w:rsidR="004C3ADD" w:rsidRPr="00594E53">
        <w:rPr>
          <w:b/>
        </w:rPr>
        <w:t xml:space="preserve"> квартале 20</w:t>
      </w:r>
      <w:r w:rsidR="00E875F2">
        <w:rPr>
          <w:b/>
        </w:rPr>
        <w:t>19</w:t>
      </w:r>
      <w:r w:rsidR="004C3ADD" w:rsidRPr="00594E53">
        <w:t xml:space="preserve"> года</w:t>
      </w:r>
      <w:r w:rsidR="00034BCB" w:rsidRPr="00594E53">
        <w:t>,</w:t>
      </w:r>
      <w:r w:rsidRPr="00594E53">
        <w:t xml:space="preserve"> из них:</w:t>
      </w:r>
    </w:p>
    <w:p w:rsidR="00763E75" w:rsidRPr="00594E53" w:rsidRDefault="00763E75" w:rsidP="009C4726">
      <w:r w:rsidRPr="00594E53">
        <w:lastRenderedPageBreak/>
        <w:t xml:space="preserve">письменных - </w:t>
      </w:r>
      <w:r w:rsidR="00111129">
        <w:rPr>
          <w:b/>
        </w:rPr>
        <w:t>5</w:t>
      </w:r>
      <w:r w:rsidRPr="00594E53">
        <w:t xml:space="preserve"> (</w:t>
      </w:r>
      <w:r w:rsidR="007D1070" w:rsidRPr="00594E53">
        <w:t>100</w:t>
      </w:r>
      <w:r w:rsidRPr="00594E53">
        <w:t>%)</w:t>
      </w:r>
      <w:r w:rsidR="00515E8F" w:rsidRPr="00594E53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697922" w:rsidRDefault="00697922" w:rsidP="009C4726">
      <w:r>
        <w:t xml:space="preserve">«Дан ответ автору» – </w:t>
      </w:r>
      <w:r w:rsidR="00111129">
        <w:rPr>
          <w:b/>
        </w:rPr>
        <w:t>5</w:t>
      </w:r>
      <w:r>
        <w:t xml:space="preserve"> (</w:t>
      </w:r>
      <w:r w:rsidR="00E875F2">
        <w:t>100</w:t>
      </w:r>
      <w:r>
        <w:t>%);</w:t>
      </w:r>
    </w:p>
    <w:p w:rsidR="00E875F2" w:rsidRDefault="00E875F2" w:rsidP="009C4726">
      <w:r>
        <w:t xml:space="preserve">«Разъяснено» - </w:t>
      </w:r>
      <w:r w:rsidRPr="00E875F2">
        <w:rPr>
          <w:b/>
        </w:rPr>
        <w:t>1</w:t>
      </w:r>
      <w:r w:rsidR="00111129">
        <w:t xml:space="preserve"> (20%</w:t>
      </w:r>
      <w:r>
        <w:t>);</w:t>
      </w:r>
    </w:p>
    <w:p w:rsidR="00055998" w:rsidRDefault="00BF04D8" w:rsidP="009C4726">
      <w:r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>
        <w:t xml:space="preserve">слуга» – </w:t>
      </w:r>
      <w:r w:rsidR="00111129">
        <w:rPr>
          <w:b/>
        </w:rPr>
        <w:t>4</w:t>
      </w:r>
      <w:r>
        <w:t xml:space="preserve"> (</w:t>
      </w:r>
      <w:r w:rsidR="00111129">
        <w:t>80</w:t>
      </w:r>
      <w:r>
        <w:t>%)</w:t>
      </w:r>
      <w:r w:rsidR="002F1C27"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111129">
        <w:rPr>
          <w:b/>
        </w:rPr>
        <w:t>5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111129">
        <w:rPr>
          <w:b/>
        </w:rPr>
        <w:t>5</w:t>
      </w:r>
      <w:r>
        <w:t xml:space="preserve"> (</w:t>
      </w:r>
      <w:r w:rsidR="00515E8F">
        <w:t>100</w:t>
      </w:r>
      <w:r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 xml:space="preserve">за подписью руководителя </w:t>
      </w:r>
      <w:proofErr w:type="spellStart"/>
      <w:r w:rsidRPr="00BA558F">
        <w:t>Камчатстата</w:t>
      </w:r>
      <w:proofErr w:type="spellEnd"/>
      <w:r w:rsidRPr="00BA558F">
        <w:t xml:space="preserve"> – </w:t>
      </w:r>
      <w:r w:rsidR="00111129">
        <w:rPr>
          <w:b/>
        </w:rPr>
        <w:t>4</w:t>
      </w:r>
      <w:r w:rsidRPr="00BA558F">
        <w:rPr>
          <w:b/>
        </w:rPr>
        <w:t xml:space="preserve"> </w:t>
      </w:r>
      <w:r w:rsidRPr="00BA558F">
        <w:t>(</w:t>
      </w:r>
      <w:r w:rsidR="00111129">
        <w:t>80</w:t>
      </w:r>
      <w:r w:rsidRPr="00BA558F">
        <w:t>%)</w:t>
      </w:r>
      <w:r w:rsidR="00E875F2">
        <w:t>;</w:t>
      </w:r>
    </w:p>
    <w:p w:rsidR="00E875F2" w:rsidRPr="00BA558F" w:rsidRDefault="00E875F2" w:rsidP="008C45AB">
      <w:r w:rsidRPr="00BA558F">
        <w:t xml:space="preserve">за подписью </w:t>
      </w:r>
      <w:r>
        <w:t xml:space="preserve">заместителя </w:t>
      </w:r>
      <w:r w:rsidRPr="00BA558F">
        <w:t>руководителя</w:t>
      </w:r>
      <w:r>
        <w:t xml:space="preserve"> </w:t>
      </w:r>
      <w:proofErr w:type="spellStart"/>
      <w:r>
        <w:t>Камчатстата</w:t>
      </w:r>
      <w:proofErr w:type="spellEnd"/>
      <w:r>
        <w:t xml:space="preserve"> – </w:t>
      </w:r>
      <w:r w:rsidR="00111129">
        <w:rPr>
          <w:b/>
        </w:rPr>
        <w:t>1</w:t>
      </w:r>
      <w:r>
        <w:t xml:space="preserve"> (</w:t>
      </w:r>
      <w:r w:rsidR="002A5B05">
        <w:t>20</w:t>
      </w:r>
      <w:r>
        <w:t>%).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2A5B05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2A5B05">
        <w:rPr>
          <w:b/>
          <w:sz w:val="28"/>
          <w:szCs w:val="28"/>
        </w:rPr>
        <w:t>2</w:t>
      </w:r>
      <w:r w:rsidRPr="006E7B40">
        <w:rPr>
          <w:b/>
          <w:sz w:val="28"/>
          <w:szCs w:val="28"/>
        </w:rPr>
        <w:t xml:space="preserve"> квартале 20</w:t>
      </w:r>
      <w:r w:rsidR="00E875F2">
        <w:rPr>
          <w:b/>
          <w:sz w:val="28"/>
          <w:szCs w:val="28"/>
        </w:rPr>
        <w:t>20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1D" w:rsidRDefault="0090231D" w:rsidP="00CD7746">
      <w:r>
        <w:separator/>
      </w:r>
    </w:p>
  </w:endnote>
  <w:endnote w:type="continuationSeparator" w:id="0">
    <w:p w:rsidR="0090231D" w:rsidRDefault="0090231D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1D" w:rsidRDefault="0090231D" w:rsidP="00CD7746">
      <w:r>
        <w:separator/>
      </w:r>
    </w:p>
  </w:footnote>
  <w:footnote w:type="continuationSeparator" w:id="0">
    <w:p w:rsidR="0090231D" w:rsidRDefault="0090231D" w:rsidP="00CD7746">
      <w:r>
        <w:continuationSeparator/>
      </w:r>
    </w:p>
  </w:footnote>
  <w:footnote w:id="1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D40C6F">
        <w:pPr>
          <w:pStyle w:val="a8"/>
          <w:jc w:val="center"/>
        </w:pPr>
        <w:fldSimple w:instr="PAGE   \* MERGEFORMAT">
          <w:r w:rsidR="00CC4874">
            <w:rPr>
              <w:noProof/>
            </w:rPr>
            <w:t>3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F64"/>
    <w:rsid w:val="00033638"/>
    <w:rsid w:val="00034BCB"/>
    <w:rsid w:val="00045051"/>
    <w:rsid w:val="00055998"/>
    <w:rsid w:val="0006348E"/>
    <w:rsid w:val="00086E38"/>
    <w:rsid w:val="000C44B6"/>
    <w:rsid w:val="000D1796"/>
    <w:rsid w:val="000D42CA"/>
    <w:rsid w:val="000E5404"/>
    <w:rsid w:val="000F5E4E"/>
    <w:rsid w:val="00111129"/>
    <w:rsid w:val="00112A9D"/>
    <w:rsid w:val="00136630"/>
    <w:rsid w:val="001378F2"/>
    <w:rsid w:val="001428B4"/>
    <w:rsid w:val="001445DE"/>
    <w:rsid w:val="001456B3"/>
    <w:rsid w:val="00145B64"/>
    <w:rsid w:val="0019210A"/>
    <w:rsid w:val="001A33CB"/>
    <w:rsid w:val="001A76BB"/>
    <w:rsid w:val="001B2488"/>
    <w:rsid w:val="001C2FD0"/>
    <w:rsid w:val="001D6F94"/>
    <w:rsid w:val="001E3DEA"/>
    <w:rsid w:val="002031DB"/>
    <w:rsid w:val="002131A8"/>
    <w:rsid w:val="002215DA"/>
    <w:rsid w:val="00247244"/>
    <w:rsid w:val="00261BB3"/>
    <w:rsid w:val="002729F7"/>
    <w:rsid w:val="00277E70"/>
    <w:rsid w:val="00280953"/>
    <w:rsid w:val="002941A4"/>
    <w:rsid w:val="002A5B05"/>
    <w:rsid w:val="002A71C1"/>
    <w:rsid w:val="002C40FF"/>
    <w:rsid w:val="002D7EBB"/>
    <w:rsid w:val="002E18CA"/>
    <w:rsid w:val="002F1628"/>
    <w:rsid w:val="002F1C27"/>
    <w:rsid w:val="002F4BEE"/>
    <w:rsid w:val="002F574E"/>
    <w:rsid w:val="003207F3"/>
    <w:rsid w:val="00322AB1"/>
    <w:rsid w:val="00326E38"/>
    <w:rsid w:val="00342E4C"/>
    <w:rsid w:val="00365C1B"/>
    <w:rsid w:val="00371B6D"/>
    <w:rsid w:val="00375C94"/>
    <w:rsid w:val="00395C36"/>
    <w:rsid w:val="003C1206"/>
    <w:rsid w:val="003C2A9F"/>
    <w:rsid w:val="003D1277"/>
    <w:rsid w:val="003F4840"/>
    <w:rsid w:val="003F7D31"/>
    <w:rsid w:val="00407373"/>
    <w:rsid w:val="00413BD0"/>
    <w:rsid w:val="00431F67"/>
    <w:rsid w:val="00432AD9"/>
    <w:rsid w:val="00434954"/>
    <w:rsid w:val="00435BDA"/>
    <w:rsid w:val="0043644C"/>
    <w:rsid w:val="004544A9"/>
    <w:rsid w:val="00494967"/>
    <w:rsid w:val="00497830"/>
    <w:rsid w:val="004B0A57"/>
    <w:rsid w:val="004B580D"/>
    <w:rsid w:val="004C1ABA"/>
    <w:rsid w:val="004C3ADD"/>
    <w:rsid w:val="004F57CC"/>
    <w:rsid w:val="00515E8F"/>
    <w:rsid w:val="00520A2D"/>
    <w:rsid w:val="0054462B"/>
    <w:rsid w:val="00547970"/>
    <w:rsid w:val="00552C11"/>
    <w:rsid w:val="00567D2A"/>
    <w:rsid w:val="00573423"/>
    <w:rsid w:val="0057780B"/>
    <w:rsid w:val="00594E53"/>
    <w:rsid w:val="005975A5"/>
    <w:rsid w:val="005A34B7"/>
    <w:rsid w:val="005C229A"/>
    <w:rsid w:val="005E3537"/>
    <w:rsid w:val="005F5802"/>
    <w:rsid w:val="00600058"/>
    <w:rsid w:val="0060354D"/>
    <w:rsid w:val="00605B00"/>
    <w:rsid w:val="00605FC6"/>
    <w:rsid w:val="00620CB7"/>
    <w:rsid w:val="006320E1"/>
    <w:rsid w:val="00636E8F"/>
    <w:rsid w:val="006505E9"/>
    <w:rsid w:val="0065169B"/>
    <w:rsid w:val="00656169"/>
    <w:rsid w:val="00660D7C"/>
    <w:rsid w:val="00663E22"/>
    <w:rsid w:val="006801F8"/>
    <w:rsid w:val="0069439A"/>
    <w:rsid w:val="00697922"/>
    <w:rsid w:val="006B588A"/>
    <w:rsid w:val="006E7B40"/>
    <w:rsid w:val="006F7449"/>
    <w:rsid w:val="00712CC2"/>
    <w:rsid w:val="0072111A"/>
    <w:rsid w:val="00732057"/>
    <w:rsid w:val="007478C8"/>
    <w:rsid w:val="00753ABE"/>
    <w:rsid w:val="007609D2"/>
    <w:rsid w:val="00763E75"/>
    <w:rsid w:val="00770527"/>
    <w:rsid w:val="00775E07"/>
    <w:rsid w:val="00784100"/>
    <w:rsid w:val="00786548"/>
    <w:rsid w:val="007D1070"/>
    <w:rsid w:val="007D38F9"/>
    <w:rsid w:val="00822055"/>
    <w:rsid w:val="0086148E"/>
    <w:rsid w:val="00875CE6"/>
    <w:rsid w:val="008A1A12"/>
    <w:rsid w:val="008A34D3"/>
    <w:rsid w:val="008A67E9"/>
    <w:rsid w:val="008B2B11"/>
    <w:rsid w:val="008B56DA"/>
    <w:rsid w:val="008C45AB"/>
    <w:rsid w:val="008C695F"/>
    <w:rsid w:val="0090231D"/>
    <w:rsid w:val="00912071"/>
    <w:rsid w:val="009136BD"/>
    <w:rsid w:val="00935793"/>
    <w:rsid w:val="00963C5B"/>
    <w:rsid w:val="009661E0"/>
    <w:rsid w:val="0098157E"/>
    <w:rsid w:val="009947EC"/>
    <w:rsid w:val="00995AF0"/>
    <w:rsid w:val="009A05C4"/>
    <w:rsid w:val="009A1C7F"/>
    <w:rsid w:val="009B1145"/>
    <w:rsid w:val="009B6C74"/>
    <w:rsid w:val="009C4726"/>
    <w:rsid w:val="009C4FAF"/>
    <w:rsid w:val="009C6674"/>
    <w:rsid w:val="009F4D42"/>
    <w:rsid w:val="00A3187C"/>
    <w:rsid w:val="00A46789"/>
    <w:rsid w:val="00A61728"/>
    <w:rsid w:val="00AA4871"/>
    <w:rsid w:val="00AA7896"/>
    <w:rsid w:val="00AB304D"/>
    <w:rsid w:val="00AB4DFC"/>
    <w:rsid w:val="00AD2A25"/>
    <w:rsid w:val="00AD68C4"/>
    <w:rsid w:val="00AE14DF"/>
    <w:rsid w:val="00AE65D1"/>
    <w:rsid w:val="00AE7D2B"/>
    <w:rsid w:val="00AF24FA"/>
    <w:rsid w:val="00B00A79"/>
    <w:rsid w:val="00B02F24"/>
    <w:rsid w:val="00B26DB3"/>
    <w:rsid w:val="00B33250"/>
    <w:rsid w:val="00B5249B"/>
    <w:rsid w:val="00B73205"/>
    <w:rsid w:val="00B96377"/>
    <w:rsid w:val="00BA558F"/>
    <w:rsid w:val="00BC24CF"/>
    <w:rsid w:val="00BD0D2C"/>
    <w:rsid w:val="00BD19AB"/>
    <w:rsid w:val="00BD7767"/>
    <w:rsid w:val="00BE1218"/>
    <w:rsid w:val="00BF04D8"/>
    <w:rsid w:val="00BF2461"/>
    <w:rsid w:val="00BF73AE"/>
    <w:rsid w:val="00C26A25"/>
    <w:rsid w:val="00C40318"/>
    <w:rsid w:val="00C62365"/>
    <w:rsid w:val="00C6301A"/>
    <w:rsid w:val="00C64854"/>
    <w:rsid w:val="00C72F46"/>
    <w:rsid w:val="00CC1923"/>
    <w:rsid w:val="00CC1E68"/>
    <w:rsid w:val="00CC32E9"/>
    <w:rsid w:val="00CC4874"/>
    <w:rsid w:val="00CD3BA0"/>
    <w:rsid w:val="00CD7746"/>
    <w:rsid w:val="00CE0AA8"/>
    <w:rsid w:val="00D12EF1"/>
    <w:rsid w:val="00D40C6F"/>
    <w:rsid w:val="00D44DA5"/>
    <w:rsid w:val="00D454DD"/>
    <w:rsid w:val="00D54FED"/>
    <w:rsid w:val="00D809E2"/>
    <w:rsid w:val="00D828EB"/>
    <w:rsid w:val="00DA3A4E"/>
    <w:rsid w:val="00DA496A"/>
    <w:rsid w:val="00DA6275"/>
    <w:rsid w:val="00DB5778"/>
    <w:rsid w:val="00DC3460"/>
    <w:rsid w:val="00DC54F3"/>
    <w:rsid w:val="00DE39D7"/>
    <w:rsid w:val="00E13D9D"/>
    <w:rsid w:val="00E1457E"/>
    <w:rsid w:val="00E349F7"/>
    <w:rsid w:val="00E60112"/>
    <w:rsid w:val="00E64219"/>
    <w:rsid w:val="00E74A00"/>
    <w:rsid w:val="00E84F8E"/>
    <w:rsid w:val="00E875F2"/>
    <w:rsid w:val="00E94BB1"/>
    <w:rsid w:val="00EA0038"/>
    <w:rsid w:val="00EB5E60"/>
    <w:rsid w:val="00EC75EA"/>
    <w:rsid w:val="00ED6AA9"/>
    <w:rsid w:val="00ED7BA4"/>
    <w:rsid w:val="00EE06E9"/>
    <w:rsid w:val="00EE2098"/>
    <w:rsid w:val="00EE3703"/>
    <w:rsid w:val="00EE58B6"/>
    <w:rsid w:val="00EF62B3"/>
    <w:rsid w:val="00F069B3"/>
    <w:rsid w:val="00F2514C"/>
    <w:rsid w:val="00F42F5A"/>
    <w:rsid w:val="00F43587"/>
    <w:rsid w:val="00F519F5"/>
    <w:rsid w:val="00F85A04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84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2019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CD-4601-89D3-48CCD91898F4}"/>
                </c:ext>
              </c:extLst>
            </c:dLbl>
            <c:dLbl>
              <c:idx val="1"/>
              <c:layout>
                <c:manualLayout>
                  <c:x val="1.3426538053969995E-2"/>
                  <c:y val="-4.02548182309447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CD-4601-89D3-48CCD91898F4}"/>
                </c:ext>
              </c:extLst>
            </c:dLbl>
            <c:dLbl>
              <c:idx val="2"/>
              <c:layout>
                <c:manualLayout>
                  <c:x val="7.4049411094286206E-4"/>
                  <c:y val="-5.55285181223851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CD-4601-89D3-48CCD91898F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CD-4601-89D3-48CCD91898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2020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CD-4601-89D3-48CCD91898F4}"/>
                </c:ext>
              </c:extLst>
            </c:dLbl>
            <c:dLbl>
              <c:idx val="1"/>
              <c:layout>
                <c:manualLayout>
                  <c:x val="2.0006146773424469E-2"/>
                  <c:y val="-5.32338551780643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CD-4601-89D3-48CCD91898F4}"/>
                </c:ext>
              </c:extLst>
            </c:dLbl>
            <c:dLbl>
              <c:idx val="2"/>
              <c:layout>
                <c:manualLayout>
                  <c:x val="2.4316251492673493E-2"/>
                  <c:y val="-5.32338551780643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CD-4601-89D3-48CCD91898F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FCD-4601-89D3-48CCD91898F4}"/>
            </c:ext>
          </c:extLst>
        </c:ser>
        <c:shape val="box"/>
        <c:axId val="83486976"/>
        <c:axId val="83509248"/>
        <c:axId val="0"/>
      </c:bar3DChart>
      <c:catAx>
        <c:axId val="83486976"/>
        <c:scaling>
          <c:orientation val="minMax"/>
        </c:scaling>
        <c:axPos val="b"/>
        <c:numFmt formatCode="General" sourceLinked="0"/>
        <c:tickLblPos val="nextTo"/>
        <c:crossAx val="83509248"/>
        <c:crosses val="autoZero"/>
        <c:auto val="1"/>
        <c:lblAlgn val="ctr"/>
        <c:lblOffset val="100"/>
      </c:catAx>
      <c:valAx>
        <c:axId val="83509248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8348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1887"/>
          <c:w val="0.2042923367023218"/>
          <c:h val="0.1879876903028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54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2019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4996E-3"/>
                  <c:y val="-1.98412698412699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1A-48AB-A348-A9A2628EBEC9}"/>
                </c:ext>
              </c:extLst>
            </c:dLbl>
            <c:dLbl>
              <c:idx val="1"/>
              <c:layout>
                <c:manualLayout>
                  <c:x val="6.9444444444444493E-3"/>
                  <c:y val="-3.96825396825397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1A-48AB-A348-A9A2628EBEC9}"/>
                </c:ext>
              </c:extLst>
            </c:dLbl>
            <c:dLbl>
              <c:idx val="2"/>
              <c:layout>
                <c:manualLayout>
                  <c:x val="-4.6296296296296493E-3"/>
                  <c:y val="-2.7777777777777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1A-48AB-A348-A9A2628EBEC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A-48AB-A348-A9A2628EBE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2020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A1A-48AB-A348-A9A2628EBEC9}"/>
                </c:ext>
              </c:extLst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1A-48AB-A348-A9A2628EBEC9}"/>
                </c:ext>
              </c:extLst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1A-48AB-A348-A9A2628EBEC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A-48AB-A348-A9A2628EBEC9}"/>
            </c:ext>
          </c:extLst>
        </c:ser>
        <c:shape val="box"/>
        <c:axId val="83540992"/>
        <c:axId val="83895040"/>
        <c:axId val="0"/>
      </c:bar3DChart>
      <c:catAx>
        <c:axId val="83540992"/>
        <c:scaling>
          <c:orientation val="minMax"/>
        </c:scaling>
        <c:axPos val="b"/>
        <c:numFmt formatCode="General" sourceLinked="0"/>
        <c:tickLblPos val="nextTo"/>
        <c:crossAx val="83895040"/>
        <c:crosses val="autoZero"/>
        <c:auto val="1"/>
        <c:lblAlgn val="ctr"/>
        <c:lblOffset val="100"/>
      </c:catAx>
      <c:valAx>
        <c:axId val="83895040"/>
        <c:scaling>
          <c:orientation val="minMax"/>
        </c:scaling>
        <c:axPos val="l"/>
        <c:majorGridlines/>
        <c:numFmt formatCode="General" sourceLinked="1"/>
        <c:tickLblPos val="nextTo"/>
        <c:crossAx val="8354099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Тематика</a:t>
            </a:r>
            <a:r>
              <a:rPr lang="ru-RU" sz="1200" baseline="0"/>
              <a:t> обращений граждан во 2 квартале 2020 года</a:t>
            </a:r>
            <a:endParaRPr lang="ru-RU" sz="1200"/>
          </a:p>
        </c:rich>
      </c:tx>
      <c:layout>
        <c:manualLayout>
          <c:xMode val="edge"/>
          <c:yMode val="edge"/>
          <c:x val="0.16716396803337458"/>
          <c:y val="2.6478102029580371E-3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1914002824540069"/>
          <c:y val="0.30948213911710942"/>
          <c:w val="0.76529420501363665"/>
          <c:h val="0.56031645799811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1.7123167770438642E-2"/>
                  <c:y val="-0.1546709439097888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32-4076-865A-7A841C5CD142}"/>
                </c:ext>
              </c:extLst>
            </c:dLbl>
            <c:dLbl>
              <c:idx val="1"/>
              <c:layout>
                <c:manualLayout>
                  <c:x val="4.8572433838682504E-2"/>
                  <c:y val="0.1226414798508609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32-4076-865A-7A841C5CD142}"/>
                </c:ext>
              </c:extLst>
            </c:dLbl>
            <c:dLbl>
              <c:idx val="2"/>
              <c:layout>
                <c:manualLayout>
                  <c:x val="-6.6667047384973838E-2"/>
                  <c:y val="2.8587902377424583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32-4076-865A-7A841C5CD142}"/>
                </c:ext>
              </c:extLst>
            </c:dLbl>
            <c:dLbl>
              <c:idx val="3"/>
              <c:layout>
                <c:manualLayout>
                  <c:x val="0.1197658073942606"/>
                  <c:y val="-0.2732170575452261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32-4076-865A-7A841C5CD142}"/>
                </c:ext>
              </c:extLst>
            </c:dLbl>
            <c:dLbl>
              <c:idx val="7"/>
              <c:layout>
                <c:manualLayout>
                  <c:x val="-1.4421668963171394E-2"/>
                  <c:y val="-8.5340744096874102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32-4076-865A-7A841C5CD142}"/>
                </c:ext>
              </c:extLst>
            </c:dLbl>
            <c:dLbl>
              <c:idx val="8"/>
              <c:layout>
                <c:manualLayout>
                  <c:x val="0.10903537343022929"/>
                  <c:y val="-2.097727470366385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A32-4076-865A-7A841C5CD1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Цены и ценообразование</c:v>
                </c:pt>
                <c:pt idx="1">
                  <c:v>Заработная плата</c:v>
                </c:pt>
                <c:pt idx="2">
                  <c:v>Запросы архивных данных</c:v>
                </c:pt>
                <c:pt idx="3">
                  <c:v>Управление в сфере экономики. Обеспечение бескризисного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A32-4076-865A-7A841C5CD142}"/>
            </c:ext>
          </c:extLst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3D11-6D08-43C9-9911-4C665571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p41_timofeevalv</cp:lastModifiedBy>
  <cp:revision>10</cp:revision>
  <cp:lastPrinted>2020-07-01T21:52:00Z</cp:lastPrinted>
  <dcterms:created xsi:type="dcterms:W3CDTF">2020-03-30T05:52:00Z</dcterms:created>
  <dcterms:modified xsi:type="dcterms:W3CDTF">2020-07-01T23:40:00Z</dcterms:modified>
</cp:coreProperties>
</file>